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60" w:rsidRPr="00A31333" w:rsidRDefault="00501660" w:rsidP="00501660">
      <w:pPr>
        <w:tabs>
          <w:tab w:val="left" w:pos="-1440"/>
          <w:tab w:val="left" w:pos="-720"/>
          <w:tab w:val="left" w:pos="0"/>
          <w:tab w:val="left" w:pos="1418"/>
          <w:tab w:val="left" w:pos="2640"/>
          <w:tab w:val="left" w:pos="3088"/>
          <w:tab w:val="left" w:pos="4440"/>
          <w:tab w:val="left" w:pos="5040"/>
        </w:tabs>
        <w:suppressAutoHyphens/>
        <w:ind w:left="1418" w:hanging="1418"/>
        <w:jc w:val="center"/>
        <w:rPr>
          <w:rFonts w:ascii="Times New Roman" w:hAnsi="Times New Roman"/>
          <w:b/>
          <w:spacing w:val="-3"/>
          <w:sz w:val="24"/>
          <w:u w:val="single"/>
        </w:rPr>
      </w:pPr>
      <w:r w:rsidRPr="00A31333">
        <w:rPr>
          <w:rFonts w:ascii="Times New Roman" w:hAnsi="Times New Roman"/>
          <w:b/>
          <w:spacing w:val="-3"/>
          <w:sz w:val="24"/>
          <w:u w:val="single"/>
        </w:rPr>
        <w:t>DEL CÁLCULO DE LA ZONA DE SERVICIO</w:t>
      </w:r>
    </w:p>
    <w:p w:rsidR="00501660" w:rsidRPr="00A31333" w:rsidRDefault="00501660" w:rsidP="00501660">
      <w:pPr>
        <w:tabs>
          <w:tab w:val="left" w:pos="-1440"/>
          <w:tab w:val="left" w:pos="-720"/>
          <w:tab w:val="left" w:pos="0"/>
          <w:tab w:val="left" w:pos="720"/>
          <w:tab w:val="left" w:pos="1440"/>
          <w:tab w:val="left" w:pos="2040"/>
          <w:tab w:val="left" w:pos="2640"/>
          <w:tab w:val="left" w:pos="3088"/>
          <w:tab w:val="left" w:pos="4440"/>
          <w:tab w:val="left" w:pos="5040"/>
        </w:tabs>
        <w:suppressAutoHyphens/>
        <w:jc w:val="both"/>
        <w:rPr>
          <w:rFonts w:ascii="Times New Roman" w:hAnsi="Times New Roman"/>
          <w:b/>
          <w:spacing w:val="-3"/>
          <w:sz w:val="24"/>
          <w:u w:val="single"/>
        </w:rPr>
      </w:pPr>
    </w:p>
    <w:p w:rsidR="00501660" w:rsidRPr="00A31333" w:rsidRDefault="00501660" w:rsidP="00501660">
      <w:pPr>
        <w:tabs>
          <w:tab w:val="left" w:pos="1418"/>
          <w:tab w:val="left" w:pos="1701"/>
        </w:tabs>
        <w:ind w:left="1701" w:hanging="1701"/>
        <w:jc w:val="both"/>
        <w:rPr>
          <w:rFonts w:ascii="Times New Roman" w:hAnsi="Times New Roman"/>
          <w:sz w:val="24"/>
        </w:rPr>
      </w:pPr>
      <w:r w:rsidRPr="00A31333">
        <w:rPr>
          <w:rFonts w:ascii="Times New Roman" w:hAnsi="Times New Roman"/>
          <w:b/>
          <w:spacing w:val="-3"/>
          <w:sz w:val="24"/>
        </w:rPr>
        <w:t>Artículo 8</w:t>
      </w:r>
      <w:r w:rsidRPr="00A31333">
        <w:rPr>
          <w:rFonts w:ascii="Times New Roman" w:hAnsi="Times New Roman"/>
          <w:b/>
          <w:spacing w:val="-3"/>
          <w:sz w:val="24"/>
        </w:rPr>
        <w:tab/>
      </w:r>
      <w:r w:rsidRPr="00A31333">
        <w:rPr>
          <w:rFonts w:ascii="Times New Roman" w:hAnsi="Times New Roman"/>
          <w:sz w:val="24"/>
        </w:rPr>
        <w:t>1.</w:t>
      </w:r>
      <w:r w:rsidRPr="00A31333">
        <w:rPr>
          <w:rFonts w:ascii="Times New Roman" w:hAnsi="Times New Roman"/>
          <w:sz w:val="24"/>
        </w:rPr>
        <w:tab/>
        <w:t xml:space="preserve">El valor de la intensidad de campo nominal utilizable que define la zona de servicio es de 54 </w:t>
      </w:r>
      <w:proofErr w:type="gramStart"/>
      <w:r w:rsidRPr="00A31333">
        <w:rPr>
          <w:rFonts w:ascii="Times New Roman" w:hAnsi="Times New Roman"/>
          <w:sz w:val="24"/>
        </w:rPr>
        <w:t>dB(</w:t>
      </w:r>
      <w:proofErr w:type="gramEnd"/>
      <w:r w:rsidRPr="00A31333">
        <w:rPr>
          <w:rFonts w:ascii="Times New Roman" w:hAnsi="Times New Roman"/>
          <w:sz w:val="24"/>
        </w:rPr>
        <w:sym w:font="Symbol" w:char="F06D"/>
      </w:r>
      <w:r w:rsidRPr="00A31333">
        <w:rPr>
          <w:rFonts w:ascii="Times New Roman" w:hAnsi="Times New Roman"/>
          <w:sz w:val="24"/>
        </w:rPr>
        <w:t>V/m).</w:t>
      </w:r>
    </w:p>
    <w:p w:rsidR="00501660" w:rsidRPr="003004B7" w:rsidRDefault="00501660" w:rsidP="00501660">
      <w:pPr>
        <w:ind w:left="709" w:hanging="709"/>
        <w:jc w:val="both"/>
        <w:rPr>
          <w:rFonts w:ascii="Times New Roman" w:hAnsi="Times New Roman"/>
          <w:sz w:val="24"/>
        </w:rPr>
      </w:pPr>
    </w:p>
    <w:p w:rsidR="00501660" w:rsidRPr="003004B7" w:rsidRDefault="00501660" w:rsidP="00501660">
      <w:pPr>
        <w:tabs>
          <w:tab w:val="left" w:pos="1418"/>
          <w:tab w:val="left" w:pos="1701"/>
        </w:tabs>
        <w:ind w:left="1701" w:hanging="1701"/>
        <w:jc w:val="both"/>
        <w:rPr>
          <w:rFonts w:ascii="Times New Roman" w:hAnsi="Times New Roman"/>
          <w:sz w:val="24"/>
        </w:rPr>
      </w:pPr>
      <w:r w:rsidRPr="003004B7">
        <w:rPr>
          <w:rFonts w:ascii="Times New Roman" w:hAnsi="Times New Roman"/>
          <w:sz w:val="24"/>
        </w:rPr>
        <w:tab/>
        <w:t>2.</w:t>
      </w:r>
      <w:r w:rsidRPr="003004B7">
        <w:rPr>
          <w:rFonts w:ascii="Times New Roman" w:hAnsi="Times New Roman"/>
          <w:sz w:val="24"/>
        </w:rPr>
        <w:tab/>
        <w:t>Para realizar el cálculo del contorno que define la zona de servicio,</w:t>
      </w:r>
      <w:r w:rsidRPr="00182DAC">
        <w:rPr>
          <w:rFonts w:ascii="Times New Roman" w:eastAsia="SimSun" w:hAnsi="Times New Roman"/>
          <w:sz w:val="24"/>
          <w:szCs w:val="24"/>
          <w:lang w:eastAsia="zh-CN" w:bidi="ar-SA"/>
        </w:rPr>
        <w:t xml:space="preserve"> debe considerarse lo siguiente</w:t>
      </w:r>
      <w:r w:rsidRPr="00A31333">
        <w:rPr>
          <w:rFonts w:ascii="Times New Roman" w:hAnsi="Times New Roman"/>
          <w:sz w:val="24"/>
        </w:rPr>
        <w:t>:</w:t>
      </w:r>
    </w:p>
    <w:p w:rsidR="00501660" w:rsidRPr="00182DAC" w:rsidRDefault="00501660" w:rsidP="00501660">
      <w:pPr>
        <w:tabs>
          <w:tab w:val="left" w:pos="1418"/>
          <w:tab w:val="left" w:pos="1701"/>
        </w:tabs>
        <w:ind w:left="1701" w:hanging="1701"/>
        <w:jc w:val="both"/>
        <w:rPr>
          <w:rFonts w:ascii="Times New Roman" w:hAnsi="Times New Roman"/>
          <w:sz w:val="24"/>
        </w:rPr>
      </w:pPr>
    </w:p>
    <w:p w:rsidR="00501660" w:rsidRPr="00A31333" w:rsidRDefault="00501660" w:rsidP="00501660">
      <w:pPr>
        <w:tabs>
          <w:tab w:val="left" w:pos="709"/>
          <w:tab w:val="left" w:pos="1701"/>
          <w:tab w:val="left" w:pos="2127"/>
          <w:tab w:val="left" w:pos="4111"/>
        </w:tabs>
        <w:ind w:left="2126" w:hanging="2126"/>
        <w:jc w:val="both"/>
        <w:rPr>
          <w:rFonts w:ascii="Times New Roman" w:hAnsi="Times New Roman"/>
          <w:sz w:val="24"/>
        </w:rPr>
      </w:pPr>
      <w:r w:rsidRPr="00A31333">
        <w:rPr>
          <w:rFonts w:ascii="Times New Roman" w:hAnsi="Times New Roman"/>
          <w:sz w:val="24"/>
        </w:rPr>
        <w:tab/>
      </w:r>
      <w:r w:rsidRPr="00A31333">
        <w:rPr>
          <w:rFonts w:ascii="Times New Roman" w:hAnsi="Times New Roman"/>
          <w:sz w:val="24"/>
        </w:rPr>
        <w:tab/>
        <w:t>2.1.</w:t>
      </w:r>
      <w:r w:rsidRPr="00A31333">
        <w:rPr>
          <w:rFonts w:ascii="Times New Roman" w:hAnsi="Times New Roman"/>
          <w:sz w:val="24"/>
        </w:rPr>
        <w:tab/>
        <w:t>Hay que basarse en el método de cálculo informado en la Resolución Exenta N° 4.507, de 22.08.2011 que modifica la Resolución Exenta Nº 479 de 1999, ambas de la Subsecretaría de Telecomunicaciones, que fijó la Norma Técnica para el Servicio de Radiodifusión Sonora.</w:t>
      </w:r>
    </w:p>
    <w:p w:rsidR="00501660" w:rsidRPr="00A31333" w:rsidRDefault="00501660" w:rsidP="00501660">
      <w:pPr>
        <w:tabs>
          <w:tab w:val="left" w:pos="709"/>
          <w:tab w:val="left" w:pos="1701"/>
          <w:tab w:val="left" w:pos="2127"/>
          <w:tab w:val="left" w:pos="4111"/>
        </w:tabs>
        <w:ind w:left="2126" w:hanging="2126"/>
        <w:jc w:val="both"/>
        <w:rPr>
          <w:rFonts w:ascii="Times New Roman" w:hAnsi="Times New Roman"/>
          <w:sz w:val="24"/>
        </w:rPr>
      </w:pPr>
    </w:p>
    <w:p w:rsidR="00501660" w:rsidRPr="00BC02C7" w:rsidRDefault="00501660" w:rsidP="00501660">
      <w:pPr>
        <w:tabs>
          <w:tab w:val="left" w:pos="709"/>
          <w:tab w:val="left" w:pos="1701"/>
          <w:tab w:val="left" w:pos="2127"/>
          <w:tab w:val="left" w:pos="4111"/>
        </w:tabs>
        <w:ind w:left="2126" w:hanging="2126"/>
        <w:jc w:val="both"/>
        <w:rPr>
          <w:rFonts w:ascii="Times New Roman" w:hAnsi="Times New Roman"/>
          <w:sz w:val="24"/>
        </w:rPr>
      </w:pPr>
      <w:r w:rsidRPr="00BC02C7">
        <w:rPr>
          <w:rFonts w:ascii="Times New Roman" w:hAnsi="Times New Roman"/>
          <w:sz w:val="24"/>
        </w:rPr>
        <w:tab/>
      </w:r>
      <w:r w:rsidRPr="00BC02C7">
        <w:rPr>
          <w:rFonts w:ascii="Times New Roman" w:hAnsi="Times New Roman"/>
          <w:sz w:val="24"/>
        </w:rPr>
        <w:tab/>
        <w:t>2.2.</w:t>
      </w:r>
      <w:r w:rsidRPr="00BC02C7">
        <w:rPr>
          <w:rFonts w:ascii="Times New Roman" w:hAnsi="Times New Roman"/>
          <w:sz w:val="24"/>
        </w:rPr>
        <w:tab/>
      </w:r>
      <w:r w:rsidRPr="00BC02C7">
        <w:rPr>
          <w:rFonts w:ascii="Times New Roman" w:eastAsia="SimSun" w:hAnsi="Times New Roman"/>
          <w:sz w:val="24"/>
          <w:szCs w:val="24"/>
          <w:lang w:eastAsia="zh-CN" w:bidi="ar-SA"/>
        </w:rPr>
        <w:t>Un mínimo de dieciocho (18) radiales trazados sobre una carta topográfica escala 1:50.000, uniformemente distribuidos a partir del norte geográfico (0º), en sentido horario, considerando como punto de origen la ubicación del sistema radiante. El perfil topográfico requerido considera la medición de cotas geográficas cada 500 m en la dirección de cada uno de estos radiales</w:t>
      </w:r>
      <w:r w:rsidRPr="00BC02C7">
        <w:rPr>
          <w:rFonts w:ascii="Times New Roman" w:hAnsi="Times New Roman"/>
          <w:sz w:val="24"/>
        </w:rPr>
        <w:t>.</w:t>
      </w:r>
    </w:p>
    <w:p w:rsidR="00501660" w:rsidRPr="00BC02C7" w:rsidRDefault="00501660" w:rsidP="00501660">
      <w:pPr>
        <w:tabs>
          <w:tab w:val="left" w:pos="709"/>
          <w:tab w:val="left" w:pos="1701"/>
          <w:tab w:val="left" w:pos="2127"/>
          <w:tab w:val="left" w:pos="4111"/>
        </w:tabs>
        <w:ind w:left="2126" w:hanging="2126"/>
        <w:jc w:val="both"/>
        <w:rPr>
          <w:rFonts w:ascii="Times New Roman" w:hAnsi="Times New Roman"/>
          <w:sz w:val="24"/>
        </w:rPr>
      </w:pPr>
    </w:p>
    <w:p w:rsidR="00501660" w:rsidRPr="00A31333" w:rsidRDefault="00501660" w:rsidP="00501660">
      <w:pPr>
        <w:tabs>
          <w:tab w:val="left" w:pos="709"/>
          <w:tab w:val="left" w:pos="1701"/>
          <w:tab w:val="left" w:pos="2127"/>
          <w:tab w:val="left" w:pos="4111"/>
        </w:tabs>
        <w:ind w:left="2126" w:hanging="2126"/>
        <w:jc w:val="both"/>
        <w:rPr>
          <w:rFonts w:ascii="Times New Roman" w:hAnsi="Times New Roman"/>
          <w:sz w:val="24"/>
        </w:rPr>
      </w:pPr>
      <w:r w:rsidRPr="00182DAC">
        <w:rPr>
          <w:rFonts w:ascii="Times New Roman" w:hAnsi="Times New Roman"/>
          <w:sz w:val="24"/>
        </w:rPr>
        <w:tab/>
      </w:r>
      <w:r w:rsidRPr="00182DAC">
        <w:rPr>
          <w:rFonts w:ascii="Times New Roman" w:hAnsi="Times New Roman"/>
          <w:sz w:val="24"/>
        </w:rPr>
        <w:tab/>
        <w:t>2.3.</w:t>
      </w:r>
      <w:r w:rsidRPr="00182DAC">
        <w:rPr>
          <w:rFonts w:ascii="Times New Roman" w:hAnsi="Times New Roman"/>
          <w:sz w:val="24"/>
        </w:rPr>
        <w:tab/>
      </w:r>
      <w:r w:rsidRPr="00182DAC">
        <w:rPr>
          <w:rFonts w:ascii="Times New Roman" w:eastAsia="SimSun" w:hAnsi="Times New Roman"/>
          <w:sz w:val="24"/>
          <w:szCs w:val="24"/>
          <w:lang w:eastAsia="zh-CN" w:bidi="ar-SA"/>
        </w:rPr>
        <w:t>Las curvas de nivel de campo en función de la distancia y de la altura efectiva (h</w:t>
      </w:r>
      <w:r w:rsidRPr="00182DAC">
        <w:rPr>
          <w:rFonts w:ascii="Times New Roman" w:eastAsia="SimSun" w:hAnsi="Times New Roman"/>
          <w:sz w:val="24"/>
          <w:szCs w:val="24"/>
          <w:vertAlign w:val="subscript"/>
          <w:lang w:eastAsia="zh-CN" w:bidi="ar-SA"/>
        </w:rPr>
        <w:t>1</w:t>
      </w:r>
      <w:r w:rsidRPr="00182DAC">
        <w:rPr>
          <w:rFonts w:ascii="Times New Roman" w:eastAsia="SimSun" w:hAnsi="Times New Roman"/>
          <w:sz w:val="24"/>
          <w:szCs w:val="24"/>
          <w:lang w:eastAsia="zh-CN" w:bidi="ar-SA"/>
        </w:rPr>
        <w:t>) de la antena transmisora, considerando una potencia radiada de 1 kW y una estadística del 50% del tiempo y 50% de las ubicaciones, contenidas en la Figura 1 del Apéndice 1 de la Norma Técnica para el Servicio de Radiodifusión Sonora.</w:t>
      </w:r>
    </w:p>
    <w:p w:rsidR="00501660" w:rsidRPr="00182DAC" w:rsidRDefault="00501660" w:rsidP="00501660">
      <w:pPr>
        <w:tabs>
          <w:tab w:val="left" w:pos="709"/>
          <w:tab w:val="left" w:pos="1701"/>
          <w:tab w:val="left" w:pos="2127"/>
          <w:tab w:val="left" w:pos="4111"/>
        </w:tabs>
        <w:ind w:left="2126" w:hanging="2126"/>
        <w:jc w:val="both"/>
        <w:rPr>
          <w:rFonts w:ascii="Times New Roman" w:hAnsi="Times New Roman"/>
          <w:sz w:val="24"/>
        </w:rPr>
      </w:pPr>
    </w:p>
    <w:p w:rsidR="00501660" w:rsidRPr="00A31333" w:rsidRDefault="00501660" w:rsidP="00501660">
      <w:pPr>
        <w:tabs>
          <w:tab w:val="left" w:pos="709"/>
          <w:tab w:val="left" w:pos="1701"/>
          <w:tab w:val="left" w:pos="2127"/>
          <w:tab w:val="left" w:pos="4111"/>
        </w:tabs>
        <w:ind w:left="2126" w:hanging="2126"/>
        <w:jc w:val="both"/>
        <w:rPr>
          <w:rFonts w:ascii="Times New Roman" w:hAnsi="Times New Roman"/>
          <w:sz w:val="24"/>
        </w:rPr>
      </w:pPr>
      <w:r w:rsidRPr="00A31333">
        <w:rPr>
          <w:rFonts w:ascii="Times New Roman" w:hAnsi="Times New Roman"/>
          <w:sz w:val="24"/>
        </w:rPr>
        <w:tab/>
      </w:r>
      <w:r w:rsidRPr="00A31333">
        <w:rPr>
          <w:rFonts w:ascii="Times New Roman" w:hAnsi="Times New Roman"/>
          <w:sz w:val="24"/>
        </w:rPr>
        <w:tab/>
        <w:t>2.4.</w:t>
      </w:r>
      <w:r w:rsidRPr="00A31333">
        <w:rPr>
          <w:rFonts w:ascii="Times New Roman" w:hAnsi="Times New Roman"/>
          <w:sz w:val="24"/>
        </w:rPr>
        <w:tab/>
        <w:t>El tipo de trayecto que se considerará será sólo terrestre.</w:t>
      </w:r>
    </w:p>
    <w:p w:rsidR="00501660" w:rsidRDefault="00501660" w:rsidP="00501660">
      <w:pPr>
        <w:tabs>
          <w:tab w:val="left" w:pos="2127"/>
        </w:tabs>
        <w:ind w:left="2127" w:hanging="568"/>
        <w:jc w:val="both"/>
        <w:rPr>
          <w:rFonts w:ascii="Times New Roman" w:hAnsi="Times New Roman"/>
          <w:sz w:val="24"/>
        </w:rPr>
      </w:pPr>
    </w:p>
    <w:p w:rsidR="00501660" w:rsidRPr="00182DAC" w:rsidRDefault="00501660" w:rsidP="00501660">
      <w:pPr>
        <w:tabs>
          <w:tab w:val="left" w:pos="2127"/>
        </w:tabs>
        <w:ind w:left="2127" w:hanging="568"/>
        <w:jc w:val="both"/>
        <w:rPr>
          <w:rFonts w:ascii="Times New Roman" w:hAnsi="Times New Roman"/>
          <w:sz w:val="24"/>
        </w:rPr>
      </w:pPr>
    </w:p>
    <w:p w:rsidR="00501660" w:rsidRPr="003004B7" w:rsidRDefault="00501660" w:rsidP="00501660">
      <w:pPr>
        <w:tabs>
          <w:tab w:val="left" w:pos="1418"/>
          <w:tab w:val="left" w:pos="1701"/>
        </w:tabs>
        <w:ind w:left="1701" w:hanging="1701"/>
        <w:jc w:val="both"/>
        <w:rPr>
          <w:rFonts w:ascii="Times New Roman" w:hAnsi="Times New Roman"/>
          <w:sz w:val="24"/>
        </w:rPr>
      </w:pPr>
      <w:r w:rsidRPr="00A31333">
        <w:rPr>
          <w:rFonts w:ascii="Times New Roman" w:hAnsi="Times New Roman"/>
          <w:sz w:val="24"/>
        </w:rPr>
        <w:tab/>
        <w:t>3.</w:t>
      </w:r>
      <w:r w:rsidRPr="00A31333">
        <w:rPr>
          <w:rFonts w:ascii="Times New Roman" w:hAnsi="Times New Roman"/>
          <w:sz w:val="24"/>
        </w:rPr>
        <w:tab/>
        <w:t>El procedimiento de cálculo es</w:t>
      </w:r>
      <w:r w:rsidRPr="003004B7">
        <w:rPr>
          <w:rFonts w:ascii="Times New Roman" w:hAnsi="Times New Roman"/>
          <w:sz w:val="24"/>
        </w:rPr>
        <w:t xml:space="preserve"> el siguiente:</w:t>
      </w:r>
    </w:p>
    <w:p w:rsidR="00501660" w:rsidRPr="00182DAC" w:rsidRDefault="00501660" w:rsidP="00501660">
      <w:pPr>
        <w:tabs>
          <w:tab w:val="left" w:pos="1418"/>
          <w:tab w:val="left" w:pos="1701"/>
        </w:tabs>
        <w:ind w:left="1701" w:hanging="1701"/>
        <w:jc w:val="both"/>
        <w:rPr>
          <w:rFonts w:ascii="Times New Roman" w:hAnsi="Times New Roman"/>
          <w:sz w:val="24"/>
        </w:rPr>
      </w:pPr>
    </w:p>
    <w:p w:rsidR="00501660" w:rsidRPr="00A31333" w:rsidRDefault="00501660" w:rsidP="00501660">
      <w:pPr>
        <w:tabs>
          <w:tab w:val="left" w:pos="1701"/>
          <w:tab w:val="left" w:pos="2127"/>
        </w:tabs>
        <w:ind w:left="2126" w:hanging="2126"/>
        <w:jc w:val="both"/>
        <w:rPr>
          <w:rFonts w:ascii="Times New Roman" w:hAnsi="Times New Roman"/>
          <w:sz w:val="24"/>
        </w:rPr>
      </w:pPr>
      <w:r w:rsidRPr="00A31333">
        <w:rPr>
          <w:rFonts w:ascii="Times New Roman" w:hAnsi="Times New Roman"/>
          <w:sz w:val="24"/>
        </w:rPr>
        <w:tab/>
        <w:t>3.1.</w:t>
      </w:r>
      <w:r w:rsidRPr="00A31333">
        <w:rPr>
          <w:rFonts w:ascii="Times New Roman" w:hAnsi="Times New Roman"/>
          <w:sz w:val="24"/>
        </w:rPr>
        <w:tab/>
        <w:t>Solicitar a la Subsecretaría de Telecomunicaciones, las cotas de la ubicación propuesta para la planta transmisora, enviando al correo electrónico solicitudcotasrd@subtel</w:t>
      </w:r>
      <w:r>
        <w:rPr>
          <w:rFonts w:ascii="Times New Roman" w:hAnsi="Times New Roman"/>
          <w:sz w:val="24"/>
        </w:rPr>
        <w:t>.gob</w:t>
      </w:r>
      <w:r w:rsidRPr="00A31333">
        <w:rPr>
          <w:rFonts w:ascii="Times New Roman" w:hAnsi="Times New Roman"/>
          <w:sz w:val="24"/>
        </w:rPr>
        <w:t xml:space="preserve">.cl las coordenadas geográficas de dicha ubicación en </w:t>
      </w:r>
      <w:proofErr w:type="spellStart"/>
      <w:r w:rsidRPr="00A31333">
        <w:rPr>
          <w:rFonts w:ascii="Times New Roman" w:hAnsi="Times New Roman"/>
          <w:sz w:val="24"/>
        </w:rPr>
        <w:t>Datum</w:t>
      </w:r>
      <w:proofErr w:type="spellEnd"/>
      <w:r w:rsidRPr="00A31333">
        <w:rPr>
          <w:rFonts w:ascii="Times New Roman" w:hAnsi="Times New Roman"/>
          <w:sz w:val="24"/>
        </w:rPr>
        <w:t xml:space="preserve"> WGS84, para ello se debe emplear el formulario de solicitud de cotas del Anexo 13. La Subsecretaría remitirá devuelta un correo electrónico con uno o más archivos con las cotas, en un plazo de 3 días.</w:t>
      </w:r>
    </w:p>
    <w:p w:rsidR="00501660" w:rsidRPr="00A31333" w:rsidRDefault="00501660" w:rsidP="00501660">
      <w:pPr>
        <w:tabs>
          <w:tab w:val="left" w:pos="1701"/>
          <w:tab w:val="left" w:pos="2127"/>
        </w:tabs>
        <w:ind w:left="2127" w:hanging="2127"/>
        <w:jc w:val="both"/>
        <w:rPr>
          <w:rFonts w:ascii="Times New Roman" w:hAnsi="Times New Roman"/>
          <w:sz w:val="24"/>
        </w:rPr>
      </w:pPr>
    </w:p>
    <w:p w:rsidR="00501660" w:rsidRPr="00A31333" w:rsidRDefault="00501660" w:rsidP="00501660">
      <w:pPr>
        <w:tabs>
          <w:tab w:val="left" w:pos="1701"/>
          <w:tab w:val="left" w:pos="2127"/>
        </w:tabs>
        <w:ind w:left="2127" w:hanging="2127"/>
        <w:jc w:val="both"/>
        <w:rPr>
          <w:rFonts w:ascii="Times New Roman" w:hAnsi="Times New Roman"/>
          <w:sz w:val="24"/>
        </w:rPr>
      </w:pPr>
      <w:r w:rsidRPr="00A31333">
        <w:rPr>
          <w:rFonts w:ascii="Times New Roman" w:hAnsi="Times New Roman"/>
          <w:sz w:val="24"/>
        </w:rPr>
        <w:tab/>
        <w:t>3.3.</w:t>
      </w:r>
      <w:r w:rsidRPr="00A31333">
        <w:rPr>
          <w:rFonts w:ascii="Times New Roman" w:hAnsi="Times New Roman"/>
          <w:sz w:val="24"/>
        </w:rPr>
        <w:tab/>
        <w:t xml:space="preserve">Especificar el sistema radiante a utilizar en el proyecto, caracterizado por las pérdidas por lóbulo en cada radial en dB, con respecto a la ganancia máxima de éste, que en conjunto con las valores de cotas, ganancia máxima (si se utiliza </w:t>
      </w:r>
      <w:proofErr w:type="spellStart"/>
      <w:r w:rsidRPr="00A31333">
        <w:rPr>
          <w:rFonts w:ascii="Times New Roman" w:hAnsi="Times New Roman"/>
          <w:sz w:val="24"/>
        </w:rPr>
        <w:t>tilt</w:t>
      </w:r>
      <w:proofErr w:type="spellEnd"/>
      <w:r w:rsidRPr="00A31333">
        <w:rPr>
          <w:rFonts w:ascii="Times New Roman" w:hAnsi="Times New Roman"/>
          <w:sz w:val="24"/>
        </w:rPr>
        <w:t xml:space="preserve"> eléctrico ganancia en el plano horizontal), potencia del transmisor, pérdidas de cables y conectores, y otras pérdidas (filtros adicionales, divisor de potencia, etc.), definen la zona de servicio que se desea proponer, la que debe cumplir con la restricción de que la zona de servicio calculada con ellos no </w:t>
      </w:r>
      <w:r w:rsidRPr="00A31333">
        <w:rPr>
          <w:rFonts w:ascii="Times New Roman" w:hAnsi="Times New Roman"/>
          <w:sz w:val="24"/>
        </w:rPr>
        <w:lastRenderedPageBreak/>
        <w:t>sobrepase la zona de servicio máxima definida según el artículo 15 de las Bases Generales.</w:t>
      </w:r>
    </w:p>
    <w:p w:rsidR="00501660" w:rsidRPr="00A31333" w:rsidRDefault="00501660" w:rsidP="00501660">
      <w:pPr>
        <w:tabs>
          <w:tab w:val="left" w:pos="1701"/>
          <w:tab w:val="left" w:pos="2127"/>
        </w:tabs>
        <w:ind w:left="2127" w:hanging="2127"/>
        <w:jc w:val="both"/>
        <w:rPr>
          <w:rFonts w:ascii="Times New Roman" w:hAnsi="Times New Roman"/>
          <w:sz w:val="24"/>
        </w:rPr>
      </w:pPr>
    </w:p>
    <w:p w:rsidR="00501660" w:rsidRPr="00A31333" w:rsidRDefault="00501660" w:rsidP="00501660">
      <w:pPr>
        <w:tabs>
          <w:tab w:val="left" w:pos="1701"/>
          <w:tab w:val="left" w:pos="2127"/>
        </w:tabs>
        <w:ind w:left="2127" w:hanging="2127"/>
        <w:jc w:val="both"/>
        <w:rPr>
          <w:rFonts w:ascii="Times New Roman" w:hAnsi="Times New Roman"/>
          <w:sz w:val="24"/>
        </w:rPr>
      </w:pPr>
      <w:r w:rsidRPr="00A31333">
        <w:rPr>
          <w:rFonts w:ascii="Times New Roman" w:hAnsi="Times New Roman"/>
          <w:sz w:val="24"/>
        </w:rPr>
        <w:tab/>
        <w:t>3.4.</w:t>
      </w:r>
      <w:r w:rsidRPr="00A31333">
        <w:rPr>
          <w:rFonts w:ascii="Times New Roman" w:hAnsi="Times New Roman"/>
          <w:sz w:val="24"/>
        </w:rPr>
        <w:tab/>
        <w:t xml:space="preserve">Para el cálculo se deberá utilizar el programa de cálculo de zona de servicio que la Subsecretaría ha puesto a disposición de los interesados en el sitio web </w:t>
      </w:r>
      <w:hyperlink r:id="rId6" w:history="1">
        <w:r w:rsidRPr="003004B7">
          <w:rPr>
            <w:rStyle w:val="Hipervnculo"/>
            <w:rFonts w:ascii="Times New Roman" w:hAnsi="Times New Roman"/>
            <w:sz w:val="24"/>
          </w:rPr>
          <w:t>www.subtel.gob.cl</w:t>
        </w:r>
      </w:hyperlink>
      <w:r w:rsidRPr="00A31333">
        <w:rPr>
          <w:rFonts w:ascii="Times New Roman" w:hAnsi="Times New Roman"/>
          <w:sz w:val="24"/>
        </w:rPr>
        <w:t xml:space="preserve"> </w:t>
      </w:r>
      <w:r w:rsidRPr="003004B7">
        <w:rPr>
          <w:rFonts w:ascii="Times New Roman" w:hAnsi="Times New Roman"/>
          <w:sz w:val="24"/>
        </w:rPr>
        <w:t>, denominado "Métodos de Predicción Zona de Servicio", en la sección del concurso corresp</w:t>
      </w:r>
      <w:r w:rsidRPr="00182DAC">
        <w:rPr>
          <w:rFonts w:ascii="Times New Roman" w:hAnsi="Times New Roman"/>
          <w:sz w:val="24"/>
        </w:rPr>
        <w:t>ondiente, el cual tiene como entradas los parámetros antes mencionados.</w:t>
      </w:r>
    </w:p>
    <w:p w:rsidR="00501660" w:rsidRDefault="00501660" w:rsidP="00501660">
      <w:pPr>
        <w:tabs>
          <w:tab w:val="left" w:pos="1701"/>
          <w:tab w:val="left" w:pos="2127"/>
        </w:tabs>
        <w:ind w:left="2127" w:hanging="2127"/>
        <w:jc w:val="both"/>
        <w:rPr>
          <w:rFonts w:ascii="Times New Roman" w:hAnsi="Times New Roman"/>
          <w:sz w:val="24"/>
        </w:rPr>
      </w:pPr>
    </w:p>
    <w:p w:rsidR="00501660" w:rsidRPr="00A31333" w:rsidRDefault="00501660" w:rsidP="00501660">
      <w:pPr>
        <w:tabs>
          <w:tab w:val="left" w:pos="1701"/>
          <w:tab w:val="left" w:pos="2127"/>
        </w:tabs>
        <w:ind w:left="2127" w:hanging="2127"/>
        <w:jc w:val="both"/>
        <w:rPr>
          <w:rFonts w:ascii="Times New Roman" w:hAnsi="Times New Roman"/>
          <w:sz w:val="24"/>
        </w:rPr>
      </w:pPr>
      <w:r w:rsidRPr="00A31333">
        <w:rPr>
          <w:rFonts w:ascii="Times New Roman" w:hAnsi="Times New Roman"/>
          <w:sz w:val="24"/>
        </w:rPr>
        <w:tab/>
      </w:r>
      <w:r w:rsidRPr="00A31333">
        <w:rPr>
          <w:rFonts w:ascii="Times New Roman" w:hAnsi="Times New Roman"/>
          <w:sz w:val="24"/>
        </w:rPr>
        <w:tab/>
      </w:r>
      <w:r w:rsidRPr="00A31333">
        <w:rPr>
          <w:rFonts w:ascii="Times New Roman" w:hAnsi="Times New Roman"/>
          <w:b/>
          <w:sz w:val="24"/>
        </w:rPr>
        <w:t>Indicaciones generales</w:t>
      </w:r>
      <w:r w:rsidRPr="00A31333">
        <w:rPr>
          <w:rFonts w:ascii="Times New Roman" w:hAnsi="Times New Roman"/>
          <w:sz w:val="24"/>
        </w:rPr>
        <w:t>:</w:t>
      </w:r>
    </w:p>
    <w:p w:rsidR="00501660" w:rsidRPr="00A31333" w:rsidRDefault="00501660" w:rsidP="00501660">
      <w:pPr>
        <w:pStyle w:val="Prrafodelista"/>
        <w:numPr>
          <w:ilvl w:val="0"/>
          <w:numId w:val="1"/>
        </w:numPr>
        <w:tabs>
          <w:tab w:val="left" w:pos="1701"/>
          <w:tab w:val="left" w:pos="2127"/>
        </w:tabs>
        <w:jc w:val="both"/>
        <w:rPr>
          <w:rFonts w:ascii="Times New Roman" w:hAnsi="Times New Roman"/>
          <w:sz w:val="24"/>
        </w:rPr>
      </w:pPr>
      <w:r w:rsidRPr="00A31333">
        <w:rPr>
          <w:rFonts w:ascii="Times New Roman" w:hAnsi="Times New Roman"/>
          <w:sz w:val="24"/>
        </w:rPr>
        <w:t>Las celdas en blanco son las editables.</w:t>
      </w:r>
    </w:p>
    <w:p w:rsidR="00501660" w:rsidRPr="00A31333" w:rsidRDefault="00501660" w:rsidP="00501660">
      <w:pPr>
        <w:pStyle w:val="Prrafodelista"/>
        <w:numPr>
          <w:ilvl w:val="0"/>
          <w:numId w:val="1"/>
        </w:numPr>
        <w:tabs>
          <w:tab w:val="left" w:pos="1701"/>
          <w:tab w:val="left" w:pos="2127"/>
        </w:tabs>
        <w:jc w:val="both"/>
        <w:rPr>
          <w:rFonts w:ascii="Times New Roman" w:hAnsi="Times New Roman"/>
          <w:sz w:val="24"/>
        </w:rPr>
      </w:pPr>
      <w:r w:rsidRPr="00A31333">
        <w:rPr>
          <w:rFonts w:ascii="Times New Roman" w:hAnsi="Times New Roman"/>
          <w:sz w:val="24"/>
        </w:rPr>
        <w:t xml:space="preserve">En la sección </w:t>
      </w:r>
      <w:r w:rsidRPr="00A31333">
        <w:rPr>
          <w:rFonts w:ascii="Times New Roman" w:hAnsi="Times New Roman"/>
          <w:i/>
          <w:sz w:val="24"/>
        </w:rPr>
        <w:t>Datos del Postulante</w:t>
      </w:r>
      <w:r w:rsidRPr="00A31333">
        <w:rPr>
          <w:rFonts w:ascii="Times New Roman" w:hAnsi="Times New Roman"/>
          <w:sz w:val="24"/>
        </w:rPr>
        <w:t>, se debe indicar el nombre y RUT del postulante, además de señalar la localidad a la que postula.</w:t>
      </w:r>
    </w:p>
    <w:p w:rsidR="00501660" w:rsidRPr="00A31333" w:rsidRDefault="00501660" w:rsidP="00501660">
      <w:pPr>
        <w:pStyle w:val="Prrafodelista"/>
        <w:numPr>
          <w:ilvl w:val="0"/>
          <w:numId w:val="1"/>
        </w:numPr>
        <w:tabs>
          <w:tab w:val="left" w:pos="1701"/>
          <w:tab w:val="left" w:pos="2127"/>
        </w:tabs>
        <w:jc w:val="both"/>
        <w:rPr>
          <w:rFonts w:ascii="Times New Roman" w:hAnsi="Times New Roman"/>
          <w:sz w:val="24"/>
        </w:rPr>
      </w:pPr>
      <w:r w:rsidRPr="00A31333">
        <w:rPr>
          <w:rFonts w:ascii="Times New Roman" w:hAnsi="Times New Roman"/>
          <w:sz w:val="24"/>
        </w:rPr>
        <w:t xml:space="preserve">En la sección </w:t>
      </w:r>
      <w:r w:rsidRPr="00A31333">
        <w:rPr>
          <w:rFonts w:ascii="Times New Roman" w:hAnsi="Times New Roman"/>
          <w:i/>
          <w:sz w:val="24"/>
        </w:rPr>
        <w:t>Datos del Llamado a Concurso</w:t>
      </w:r>
      <w:r w:rsidRPr="00A31333">
        <w:rPr>
          <w:rFonts w:ascii="Times New Roman" w:hAnsi="Times New Roman"/>
          <w:sz w:val="24"/>
        </w:rPr>
        <w:t xml:space="preserve">, en el cuadro desplegable llamado </w:t>
      </w:r>
      <w:r w:rsidRPr="00A31333">
        <w:rPr>
          <w:rFonts w:ascii="Times New Roman" w:hAnsi="Times New Roman"/>
          <w:i/>
          <w:sz w:val="24"/>
        </w:rPr>
        <w:t>Señal Distintiva o Localidad</w:t>
      </w:r>
      <w:r w:rsidRPr="00A31333">
        <w:rPr>
          <w:rFonts w:ascii="Times New Roman" w:hAnsi="Times New Roman"/>
          <w:sz w:val="24"/>
        </w:rPr>
        <w:t xml:space="preserve">, se debe elegir, en caso de postular a una nueva concesión, la localidad que corresponda, y en caso de postular a una concesión en renovación, la señal distintiva de la concesión. Además, se debe de agregar en el campo </w:t>
      </w:r>
      <w:r w:rsidRPr="00A31333">
        <w:rPr>
          <w:rFonts w:ascii="Times New Roman" w:hAnsi="Times New Roman"/>
          <w:i/>
          <w:sz w:val="24"/>
        </w:rPr>
        <w:t>Altura Antena Transmisora</w:t>
      </w:r>
      <w:r w:rsidRPr="00A31333">
        <w:rPr>
          <w:rFonts w:ascii="Times New Roman" w:hAnsi="Times New Roman"/>
          <w:sz w:val="24"/>
        </w:rPr>
        <w:t>, la altura del centro de radiación del arreglo de antenas.</w:t>
      </w:r>
    </w:p>
    <w:p w:rsidR="00501660" w:rsidRPr="00A31333" w:rsidRDefault="00501660" w:rsidP="00501660">
      <w:pPr>
        <w:pStyle w:val="Prrafodelista"/>
        <w:numPr>
          <w:ilvl w:val="0"/>
          <w:numId w:val="1"/>
        </w:numPr>
        <w:tabs>
          <w:tab w:val="left" w:pos="1701"/>
          <w:tab w:val="left" w:pos="2127"/>
        </w:tabs>
        <w:jc w:val="both"/>
        <w:rPr>
          <w:rFonts w:ascii="Times New Roman" w:hAnsi="Times New Roman"/>
          <w:sz w:val="24"/>
        </w:rPr>
      </w:pPr>
      <w:r w:rsidRPr="00A31333">
        <w:rPr>
          <w:rFonts w:ascii="Times New Roman" w:hAnsi="Times New Roman"/>
          <w:sz w:val="24"/>
        </w:rPr>
        <w:t xml:space="preserve">En la sección </w:t>
      </w:r>
      <w:r w:rsidRPr="00A31333">
        <w:rPr>
          <w:rFonts w:ascii="Times New Roman" w:hAnsi="Times New Roman"/>
          <w:i/>
          <w:sz w:val="24"/>
        </w:rPr>
        <w:t xml:space="preserve">Cálculo Zona de Servicio, </w:t>
      </w:r>
      <w:r w:rsidRPr="00A31333">
        <w:rPr>
          <w:rFonts w:ascii="Times New Roman" w:hAnsi="Times New Roman"/>
          <w:sz w:val="24"/>
        </w:rPr>
        <w:t>se deben de ingresar los datos de potencia, ganancia, pérdidas en cables, conectores, divisor de potencia y otras, además de las pérdidas por lóbulo y coordenadas de la planta transmisora.</w:t>
      </w:r>
    </w:p>
    <w:p w:rsidR="00AE5FE4" w:rsidRDefault="00AE5FE4">
      <w:bookmarkStart w:id="0" w:name="_GoBack"/>
      <w:bookmarkEnd w:id="0"/>
    </w:p>
    <w:sectPr w:rsidR="00AE5F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A260E"/>
    <w:multiLevelType w:val="hybridMultilevel"/>
    <w:tmpl w:val="45B00088"/>
    <w:lvl w:ilvl="0" w:tplc="74764F1A">
      <w:start w:val="1"/>
      <w:numFmt w:val="bullet"/>
      <w:lvlText w:val=""/>
      <w:lvlJc w:val="left"/>
      <w:pPr>
        <w:tabs>
          <w:tab w:val="num" w:pos="2487"/>
        </w:tabs>
        <w:ind w:left="2487" w:hanging="360"/>
      </w:pPr>
      <w:rPr>
        <w:rFonts w:ascii="Symbol" w:hAnsi="Symbol" w:hint="default"/>
      </w:rPr>
    </w:lvl>
    <w:lvl w:ilvl="1" w:tplc="340A0003">
      <w:start w:val="1"/>
      <w:numFmt w:val="bullet"/>
      <w:lvlText w:val="o"/>
      <w:lvlJc w:val="left"/>
      <w:pPr>
        <w:tabs>
          <w:tab w:val="num" w:pos="3240"/>
        </w:tabs>
        <w:ind w:left="3240" w:hanging="360"/>
      </w:pPr>
      <w:rPr>
        <w:rFonts w:ascii="Courier New" w:hAnsi="Courier New" w:cs="Courier New" w:hint="default"/>
      </w:rPr>
    </w:lvl>
    <w:lvl w:ilvl="2" w:tplc="340A0005" w:tentative="1">
      <w:start w:val="1"/>
      <w:numFmt w:val="bullet"/>
      <w:lvlText w:val=""/>
      <w:lvlJc w:val="left"/>
      <w:pPr>
        <w:tabs>
          <w:tab w:val="num" w:pos="3960"/>
        </w:tabs>
        <w:ind w:left="3960" w:hanging="360"/>
      </w:pPr>
      <w:rPr>
        <w:rFonts w:ascii="Wingdings" w:hAnsi="Wingdings" w:hint="default"/>
      </w:rPr>
    </w:lvl>
    <w:lvl w:ilvl="3" w:tplc="340A0001" w:tentative="1">
      <w:start w:val="1"/>
      <w:numFmt w:val="bullet"/>
      <w:lvlText w:val=""/>
      <w:lvlJc w:val="left"/>
      <w:pPr>
        <w:tabs>
          <w:tab w:val="num" w:pos="4680"/>
        </w:tabs>
        <w:ind w:left="4680" w:hanging="360"/>
      </w:pPr>
      <w:rPr>
        <w:rFonts w:ascii="Symbol" w:hAnsi="Symbol" w:hint="default"/>
      </w:rPr>
    </w:lvl>
    <w:lvl w:ilvl="4" w:tplc="340A0003" w:tentative="1">
      <w:start w:val="1"/>
      <w:numFmt w:val="bullet"/>
      <w:lvlText w:val="o"/>
      <w:lvlJc w:val="left"/>
      <w:pPr>
        <w:tabs>
          <w:tab w:val="num" w:pos="5400"/>
        </w:tabs>
        <w:ind w:left="5400" w:hanging="360"/>
      </w:pPr>
      <w:rPr>
        <w:rFonts w:ascii="Courier New" w:hAnsi="Courier New" w:cs="Courier New" w:hint="default"/>
      </w:rPr>
    </w:lvl>
    <w:lvl w:ilvl="5" w:tplc="340A0005" w:tentative="1">
      <w:start w:val="1"/>
      <w:numFmt w:val="bullet"/>
      <w:lvlText w:val=""/>
      <w:lvlJc w:val="left"/>
      <w:pPr>
        <w:tabs>
          <w:tab w:val="num" w:pos="6120"/>
        </w:tabs>
        <w:ind w:left="6120" w:hanging="360"/>
      </w:pPr>
      <w:rPr>
        <w:rFonts w:ascii="Wingdings" w:hAnsi="Wingdings" w:hint="default"/>
      </w:rPr>
    </w:lvl>
    <w:lvl w:ilvl="6" w:tplc="340A0001" w:tentative="1">
      <w:start w:val="1"/>
      <w:numFmt w:val="bullet"/>
      <w:lvlText w:val=""/>
      <w:lvlJc w:val="left"/>
      <w:pPr>
        <w:tabs>
          <w:tab w:val="num" w:pos="6840"/>
        </w:tabs>
        <w:ind w:left="6840" w:hanging="360"/>
      </w:pPr>
      <w:rPr>
        <w:rFonts w:ascii="Symbol" w:hAnsi="Symbol" w:hint="default"/>
      </w:rPr>
    </w:lvl>
    <w:lvl w:ilvl="7" w:tplc="340A0003" w:tentative="1">
      <w:start w:val="1"/>
      <w:numFmt w:val="bullet"/>
      <w:lvlText w:val="o"/>
      <w:lvlJc w:val="left"/>
      <w:pPr>
        <w:tabs>
          <w:tab w:val="num" w:pos="7560"/>
        </w:tabs>
        <w:ind w:left="7560" w:hanging="360"/>
      </w:pPr>
      <w:rPr>
        <w:rFonts w:ascii="Courier New" w:hAnsi="Courier New" w:cs="Courier New" w:hint="default"/>
      </w:rPr>
    </w:lvl>
    <w:lvl w:ilvl="8" w:tplc="340A0005"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60"/>
    <w:rsid w:val="00036FB7"/>
    <w:rsid w:val="0004564F"/>
    <w:rsid w:val="00057D02"/>
    <w:rsid w:val="000D7097"/>
    <w:rsid w:val="00111248"/>
    <w:rsid w:val="00114EC3"/>
    <w:rsid w:val="001415F1"/>
    <w:rsid w:val="00176427"/>
    <w:rsid w:val="00197E01"/>
    <w:rsid w:val="001A40D6"/>
    <w:rsid w:val="001B0143"/>
    <w:rsid w:val="001B5B8A"/>
    <w:rsid w:val="001C4861"/>
    <w:rsid w:val="002525AC"/>
    <w:rsid w:val="00274F4D"/>
    <w:rsid w:val="00337A8B"/>
    <w:rsid w:val="0035172B"/>
    <w:rsid w:val="00354009"/>
    <w:rsid w:val="0037769A"/>
    <w:rsid w:val="00382035"/>
    <w:rsid w:val="00382D8C"/>
    <w:rsid w:val="003A7C3E"/>
    <w:rsid w:val="003B257E"/>
    <w:rsid w:val="003B77F4"/>
    <w:rsid w:val="003C7E5C"/>
    <w:rsid w:val="0040097B"/>
    <w:rsid w:val="00403A4D"/>
    <w:rsid w:val="00431177"/>
    <w:rsid w:val="00445229"/>
    <w:rsid w:val="004455A2"/>
    <w:rsid w:val="00451895"/>
    <w:rsid w:val="004650BE"/>
    <w:rsid w:val="004679B5"/>
    <w:rsid w:val="00495B25"/>
    <w:rsid w:val="004B76DE"/>
    <w:rsid w:val="004E0926"/>
    <w:rsid w:val="004E2018"/>
    <w:rsid w:val="004F5C43"/>
    <w:rsid w:val="00501660"/>
    <w:rsid w:val="00514533"/>
    <w:rsid w:val="00515269"/>
    <w:rsid w:val="00534620"/>
    <w:rsid w:val="00543F51"/>
    <w:rsid w:val="0054491C"/>
    <w:rsid w:val="005C394C"/>
    <w:rsid w:val="005D0958"/>
    <w:rsid w:val="005D3E29"/>
    <w:rsid w:val="005D462A"/>
    <w:rsid w:val="005D59E2"/>
    <w:rsid w:val="005F600E"/>
    <w:rsid w:val="0063779D"/>
    <w:rsid w:val="006643C1"/>
    <w:rsid w:val="00672804"/>
    <w:rsid w:val="006B68CA"/>
    <w:rsid w:val="006D7827"/>
    <w:rsid w:val="007453AA"/>
    <w:rsid w:val="00762FF8"/>
    <w:rsid w:val="0076632C"/>
    <w:rsid w:val="007B1318"/>
    <w:rsid w:val="007F6164"/>
    <w:rsid w:val="00814927"/>
    <w:rsid w:val="00816EC2"/>
    <w:rsid w:val="008401C9"/>
    <w:rsid w:val="00842B11"/>
    <w:rsid w:val="008A23D8"/>
    <w:rsid w:val="008B1D1C"/>
    <w:rsid w:val="008C0E8B"/>
    <w:rsid w:val="008E4339"/>
    <w:rsid w:val="00917427"/>
    <w:rsid w:val="00917B01"/>
    <w:rsid w:val="0094392F"/>
    <w:rsid w:val="00956C66"/>
    <w:rsid w:val="0098545E"/>
    <w:rsid w:val="009C4307"/>
    <w:rsid w:val="009D17F7"/>
    <w:rsid w:val="009F5FEC"/>
    <w:rsid w:val="009F7724"/>
    <w:rsid w:val="00A0569D"/>
    <w:rsid w:val="00A36D10"/>
    <w:rsid w:val="00A77CD2"/>
    <w:rsid w:val="00A90F28"/>
    <w:rsid w:val="00AD0104"/>
    <w:rsid w:val="00AD1E80"/>
    <w:rsid w:val="00AD6DB6"/>
    <w:rsid w:val="00AD70ED"/>
    <w:rsid w:val="00AE5FE4"/>
    <w:rsid w:val="00B72466"/>
    <w:rsid w:val="00B85631"/>
    <w:rsid w:val="00C0403B"/>
    <w:rsid w:val="00C23117"/>
    <w:rsid w:val="00C4146F"/>
    <w:rsid w:val="00C57D86"/>
    <w:rsid w:val="00C675CE"/>
    <w:rsid w:val="00CE252E"/>
    <w:rsid w:val="00CE56EA"/>
    <w:rsid w:val="00D15F3A"/>
    <w:rsid w:val="00DA2E4C"/>
    <w:rsid w:val="00DA7BAC"/>
    <w:rsid w:val="00DB05D6"/>
    <w:rsid w:val="00DC5C21"/>
    <w:rsid w:val="00DD1CCB"/>
    <w:rsid w:val="00DF584E"/>
    <w:rsid w:val="00E05EC1"/>
    <w:rsid w:val="00E11CF4"/>
    <w:rsid w:val="00E44C1F"/>
    <w:rsid w:val="00EA451A"/>
    <w:rsid w:val="00EA4A98"/>
    <w:rsid w:val="00EB4EE1"/>
    <w:rsid w:val="00EE0F3B"/>
    <w:rsid w:val="00F25932"/>
    <w:rsid w:val="00F662A8"/>
    <w:rsid w:val="00FE2A0D"/>
    <w:rsid w:val="00FE586B"/>
    <w:rsid w:val="00FF2AC1"/>
    <w:rsid w:val="00FF63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60"/>
    <w:pPr>
      <w:spacing w:after="0" w:line="240" w:lineRule="auto"/>
    </w:pPr>
    <w:rPr>
      <w:rFonts w:ascii="Courier" w:eastAsia="Times New Roman" w:hAnsi="Courier" w:cs="Times New Roman"/>
      <w:sz w:val="20"/>
      <w:szCs w:val="20"/>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01660"/>
    <w:rPr>
      <w:color w:val="0000FF"/>
      <w:u w:val="single"/>
    </w:rPr>
  </w:style>
  <w:style w:type="paragraph" w:styleId="Prrafodelista">
    <w:name w:val="List Paragraph"/>
    <w:basedOn w:val="Normal"/>
    <w:uiPriority w:val="34"/>
    <w:qFormat/>
    <w:rsid w:val="0050166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60"/>
    <w:pPr>
      <w:spacing w:after="0" w:line="240" w:lineRule="auto"/>
    </w:pPr>
    <w:rPr>
      <w:rFonts w:ascii="Courier" w:eastAsia="Times New Roman" w:hAnsi="Courier" w:cs="Times New Roman"/>
      <w:sz w:val="20"/>
      <w:szCs w:val="20"/>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01660"/>
    <w:rPr>
      <w:color w:val="0000FF"/>
      <w:u w:val="single"/>
    </w:rPr>
  </w:style>
  <w:style w:type="paragraph" w:styleId="Prrafodelista">
    <w:name w:val="List Paragraph"/>
    <w:basedOn w:val="Normal"/>
    <w:uiPriority w:val="34"/>
    <w:qFormat/>
    <w:rsid w:val="0050166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btel.gob.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Labra Fuenzalida</dc:creator>
  <cp:lastModifiedBy>Marcos Labra Fuenzalida</cp:lastModifiedBy>
  <cp:revision>1</cp:revision>
  <dcterms:created xsi:type="dcterms:W3CDTF">2015-01-16T20:45:00Z</dcterms:created>
  <dcterms:modified xsi:type="dcterms:W3CDTF">2015-01-16T20:45:00Z</dcterms:modified>
</cp:coreProperties>
</file>